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Нестероидные противовоспалительные препараты</w:t>
      </w:r>
      <w:r w:rsidRPr="00AB053C">
        <w:t xml:space="preserve"> (НПВП) – группа негормональных препаратов, оказывающих противовоспалительное действие.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 xml:space="preserve">Аспирин, анальгин, </w:t>
      </w:r>
      <w:proofErr w:type="spellStart"/>
      <w:r w:rsidRPr="00AB053C">
        <w:rPr>
          <w:b/>
          <w:bCs/>
        </w:rPr>
        <w:t>диклофенак</w:t>
      </w:r>
      <w:proofErr w:type="spellEnd"/>
      <w:r w:rsidRPr="00AB053C">
        <w:rPr>
          <w:b/>
          <w:bCs/>
        </w:rPr>
        <w:t xml:space="preserve">, ибупрофен, </w:t>
      </w:r>
      <w:proofErr w:type="spellStart"/>
      <w:r w:rsidRPr="00AB053C">
        <w:rPr>
          <w:b/>
          <w:bCs/>
        </w:rPr>
        <w:t>кетопрофен</w:t>
      </w:r>
      <w:proofErr w:type="spellEnd"/>
      <w:r w:rsidRPr="00AB053C">
        <w:rPr>
          <w:b/>
          <w:bCs/>
        </w:rPr>
        <w:t xml:space="preserve">, </w:t>
      </w:r>
      <w:proofErr w:type="spellStart"/>
      <w:r w:rsidRPr="00AB053C">
        <w:rPr>
          <w:b/>
          <w:bCs/>
        </w:rPr>
        <w:t>напраксен</w:t>
      </w:r>
      <w:proofErr w:type="spellEnd"/>
      <w:r w:rsidRPr="00AB053C">
        <w:rPr>
          <w:b/>
          <w:bCs/>
        </w:rPr>
        <w:t xml:space="preserve">, </w:t>
      </w:r>
      <w:proofErr w:type="spellStart"/>
      <w:r w:rsidRPr="00AB053C">
        <w:rPr>
          <w:b/>
          <w:bCs/>
        </w:rPr>
        <w:t>пироксикам</w:t>
      </w:r>
      <w:proofErr w:type="spellEnd"/>
      <w:r w:rsidRPr="00AB053C">
        <w:rPr>
          <w:b/>
          <w:bCs/>
        </w:rPr>
        <w:t xml:space="preserve">, </w:t>
      </w:r>
      <w:proofErr w:type="spellStart"/>
      <w:r w:rsidRPr="00AB053C">
        <w:rPr>
          <w:b/>
          <w:bCs/>
        </w:rPr>
        <w:t>мелоксикам</w:t>
      </w:r>
      <w:proofErr w:type="spellEnd"/>
      <w:r w:rsidRPr="00AB053C">
        <w:rPr>
          <w:b/>
          <w:bCs/>
        </w:rPr>
        <w:t xml:space="preserve">, </w:t>
      </w:r>
      <w:proofErr w:type="spellStart"/>
      <w:r w:rsidRPr="00AB053C">
        <w:rPr>
          <w:b/>
          <w:bCs/>
        </w:rPr>
        <w:t>нимесулид</w:t>
      </w:r>
      <w:proofErr w:type="spellEnd"/>
    </w:p>
    <w:p w:rsidR="00AB053C" w:rsidRDefault="00AB053C" w:rsidP="00CE0C7C">
      <w:pPr>
        <w:spacing w:after="0" w:line="240" w:lineRule="auto"/>
      </w:pPr>
      <w:r w:rsidRPr="00AB053C">
        <w:t>Выпускаются в таблетках, капсулах, растворах для инъекций, мазей, гелей, суппозиториях (свечи).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Что т</w:t>
      </w:r>
      <w:bookmarkStart w:id="0" w:name="_GoBack"/>
      <w:bookmarkEnd w:id="0"/>
      <w:r w:rsidRPr="00AB053C">
        <w:rPr>
          <w:b/>
          <w:bCs/>
        </w:rPr>
        <w:t>акое нестероидные противовоспалительные препараты и как они действуют?</w:t>
      </w:r>
    </w:p>
    <w:p w:rsidR="00AB053C" w:rsidRDefault="00AB053C" w:rsidP="00CE0C7C">
      <w:pPr>
        <w:spacing w:after="0" w:line="240" w:lineRule="auto"/>
      </w:pPr>
      <w:r w:rsidRPr="00AB053C">
        <w:t>НПВП оказывают противовоспалительное, обезболивающее и жаропонижающее действие. Главным механизмом действия является торможение образования простагландинов. Простагландины — это тканевые гормоны, которые способствуют развитию воспаления и сопровождающей его боли.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Для чего используют нестероидные противовоспалительные препараты?</w:t>
      </w:r>
    </w:p>
    <w:p w:rsidR="00AB053C" w:rsidRPr="00AB053C" w:rsidRDefault="00AB053C" w:rsidP="00CE0C7C">
      <w:pPr>
        <w:spacing w:after="0" w:line="240" w:lineRule="auto"/>
      </w:pPr>
      <w:r w:rsidRPr="00AB053C">
        <w:t>Препараты предназначены для облегчения болей различного характера.</w:t>
      </w:r>
    </w:p>
    <w:p w:rsidR="00AB053C" w:rsidRDefault="00AB053C" w:rsidP="00CE0C7C">
      <w:pPr>
        <w:spacing w:after="0" w:line="240" w:lineRule="auto"/>
      </w:pPr>
      <w:r w:rsidRPr="00AB053C">
        <w:t xml:space="preserve">Нестероидные противовоспалительные препараты показаны при воспалительных заболеваниях суставов (ревматоидный артрит, ревматизм, </w:t>
      </w:r>
      <w:proofErr w:type="spellStart"/>
      <w:r w:rsidRPr="00AB053C">
        <w:t>анкилозирующий</w:t>
      </w:r>
      <w:proofErr w:type="spellEnd"/>
      <w:r w:rsidRPr="00AB053C">
        <w:t xml:space="preserve"> спондилит, хронический подагрический артрит), дегенеративных заболеваниях (деформирующий </w:t>
      </w:r>
      <w:proofErr w:type="spellStart"/>
      <w:r w:rsidRPr="00AB053C">
        <w:t>остеоартроз</w:t>
      </w:r>
      <w:proofErr w:type="spellEnd"/>
      <w:r w:rsidRPr="00AB053C">
        <w:t>, остеохондроз), люмбаго, ишиасе, невралгии, миалгии, заболеваниях внесуставных тканей (тендовагинит, бурсит, ревматическое поражение мягких тканей), посттравматическом болевом синдроме, сопровождающемся воспалением, послеоперационных болях, остром приступе подагры, приступах мигрени, почечной и печеночной колике, инфекциях ЛОР-органов, остаточных явлениях пневмонии. Местно — травмы сухожилий, связок, мышц и суставов (для снятия боли и воспаления при растяжениях, вывихах, ушибах), локализованные формы ревматизма мягких тканей (устранение боли и воспаления).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Что нужно сообщить врачу перед началом лечения нестероидными противовоспалительными препаратами?</w:t>
      </w:r>
    </w:p>
    <w:p w:rsidR="00AB053C" w:rsidRPr="00AB053C" w:rsidRDefault="00AB053C" w:rsidP="00CE0C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О наличие у пациента язвенной болезни желудка и/или двенадцатиперстной кишки</w:t>
      </w:r>
    </w:p>
    <w:p w:rsidR="00AB053C" w:rsidRPr="00AB053C" w:rsidRDefault="00AB053C" w:rsidP="00CE0C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О наличие у пациента хронического заболевания почек или печени</w:t>
      </w:r>
    </w:p>
    <w:p w:rsidR="00AB053C" w:rsidRPr="00AB053C" w:rsidRDefault="00AB053C" w:rsidP="00CE0C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У пациента была, когда–либо реакция на салицилаты или любое другое лекарственное средство</w:t>
      </w:r>
    </w:p>
    <w:p w:rsidR="00AB053C" w:rsidRPr="00AB053C" w:rsidRDefault="00AB053C" w:rsidP="00CE0C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Что пациент принимает любые другие лекарства, включая безрецептурные лекарственные средства, витамины</w:t>
      </w:r>
    </w:p>
    <w:p w:rsidR="00AB053C" w:rsidRDefault="00AB053C" w:rsidP="00CE0C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О беременности или кормлении грудью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Каковы правила приема нестероидных противовоспалительных препаратов?</w:t>
      </w:r>
    </w:p>
    <w:p w:rsidR="00AB053C" w:rsidRP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Принимайте препарат так, как назначено врачом.</w:t>
      </w:r>
    </w:p>
    <w:p w:rsidR="00AB053C" w:rsidRP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НПВП принимаются через 1-2 часа после приемов пищи, запивая большим количеством воды</w:t>
      </w:r>
    </w:p>
    <w:p w:rsidR="00AB053C" w:rsidRP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Никогда не принимайте нестероидные противовоспалительные препараты в дозе большей, чем назначено врачом. Если вы приняли чрезмерную дозу – немедленно обратитесь к врачу или вызовите «Скорую помощь».</w:t>
      </w:r>
    </w:p>
    <w:p w:rsidR="00AB053C" w:rsidRP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Во время лечения носите упаковку лекарства с собой, поддерживайте постоянный запас препарата.</w:t>
      </w:r>
    </w:p>
    <w:p w:rsidR="00AB053C" w:rsidRP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Это лекарство назначено только Вам. Никогда не давайте его другим людям, даже если Вам кажется, что у них аналогичное заболевание.</w:t>
      </w:r>
    </w:p>
    <w:p w:rsidR="00AB053C" w:rsidRDefault="00AB053C" w:rsidP="00CE0C7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При длительном применении нестероидных противовоспалительных препаратов следует проводить регулярный контроль параметров, отражающих функцию печени, почек, а также показатели периферической крови.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CE0C7C" w:rsidP="00CE0C7C">
      <w:pPr>
        <w:spacing w:after="0" w:line="240" w:lineRule="auto"/>
      </w:pPr>
      <w:r>
        <w:rPr>
          <w:b/>
          <w:bCs/>
        </w:rPr>
        <w:t xml:space="preserve">Что делать если </w:t>
      </w:r>
      <w:r w:rsidR="00AB053C" w:rsidRPr="00AB053C">
        <w:rPr>
          <w:b/>
          <w:bCs/>
        </w:rPr>
        <w:t>пропу</w:t>
      </w:r>
      <w:r>
        <w:rPr>
          <w:b/>
          <w:bCs/>
        </w:rPr>
        <w:t>щен</w:t>
      </w:r>
      <w:r w:rsidR="00AB053C" w:rsidRPr="00AB053C">
        <w:rPr>
          <w:b/>
          <w:bCs/>
        </w:rPr>
        <w:t xml:space="preserve"> прием препарата?</w:t>
      </w:r>
    </w:p>
    <w:p w:rsidR="00AB053C" w:rsidRPr="00AB053C" w:rsidRDefault="00AB053C" w:rsidP="00CE0C7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Примите пропущенную дозу лекарства сразу после того, как вспомнили.</w:t>
      </w:r>
    </w:p>
    <w:p w:rsidR="00AB053C" w:rsidRPr="00AB053C" w:rsidRDefault="00AB053C" w:rsidP="00CE0C7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Если вы пропустили прием препарата, и уже наступило время следующего приема, продолжайте прием нестероидных противовоспалительных препаратов по прежнему графику.</w:t>
      </w:r>
    </w:p>
    <w:p w:rsidR="00AB053C" w:rsidRDefault="00AB053C" w:rsidP="00CE0C7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Не принимайте двойную или дополнительную дозу препарата.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Что нужно, чтобы лечение было эффективным и безопасным?</w:t>
      </w:r>
    </w:p>
    <w:p w:rsidR="00AB053C" w:rsidRPr="00AB053C" w:rsidRDefault="00AB053C" w:rsidP="00CE0C7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Регулярно посещайте Вашего врача для оценки эффективности лечения.</w:t>
      </w:r>
    </w:p>
    <w:p w:rsidR="00AB053C" w:rsidRPr="00AB053C" w:rsidRDefault="00AB053C" w:rsidP="00CE0C7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Если Вы не чувствуете улучшения на фоне приема препарата, обсудите это с Вашим врачом.</w:t>
      </w:r>
    </w:p>
    <w:p w:rsidR="00AB053C" w:rsidRDefault="00AB053C" w:rsidP="00CE0C7C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При необходимости приема нестероидных противовоспалительных препаратов вместе с другими препаратами обязательно обсудите это с Вашим лечащим врачом.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Какие проблемы может вызвать прием нестероидных противовоспалительных препаратов?</w:t>
      </w:r>
    </w:p>
    <w:p w:rsidR="00AB053C" w:rsidRPr="00AB053C" w:rsidRDefault="00AB053C" w:rsidP="00CE0C7C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</w:pPr>
      <w:r w:rsidRPr="00AB053C">
        <w:t>Могут появиться расстройства функции желудочно-кишечного тракта (боли в животе, запор, изжога, тошнота), однако часто они не настолько выраженные, чтобы из-за этого прерывать лечение.</w:t>
      </w:r>
    </w:p>
    <w:p w:rsidR="00AB053C" w:rsidRPr="00AB053C" w:rsidRDefault="00AB053C" w:rsidP="00CE0C7C">
      <w:pPr>
        <w:numPr>
          <w:ilvl w:val="0"/>
          <w:numId w:val="5"/>
        </w:numPr>
        <w:tabs>
          <w:tab w:val="clear" w:pos="720"/>
          <w:tab w:val="left" w:pos="284"/>
        </w:tabs>
        <w:spacing w:after="0" w:line="240" w:lineRule="auto"/>
        <w:ind w:left="0" w:firstLine="0"/>
      </w:pPr>
      <w:r w:rsidRPr="00AB053C">
        <w:t>Длительная терапия большими дозами увеличивает риск появления побочных явлений со стороны желудочно-кишечного тракта (как исключение, могут наблюдаться пептическая язва или кровотечения).</w:t>
      </w:r>
    </w:p>
    <w:p w:rsidR="00AB053C" w:rsidRPr="00AB053C" w:rsidRDefault="00AB053C" w:rsidP="00CE0C7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Редко появляются сыпь, зуд, отеки, чувство усталости, головокружение.</w:t>
      </w:r>
    </w:p>
    <w:p w:rsidR="00AB053C" w:rsidRPr="00AB053C" w:rsidRDefault="00AB053C" w:rsidP="00CE0C7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lastRenderedPageBreak/>
        <w:t>Возможно увеличение активности печеночных ферментов.</w:t>
      </w:r>
    </w:p>
    <w:p w:rsidR="00AB053C" w:rsidRDefault="00AB053C" w:rsidP="00CE0C7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Гель и мазь иногда вызывают покраснение, зуд и чувство жжения на месте нанесения.</w:t>
      </w:r>
    </w:p>
    <w:p w:rsidR="00CE0C7C" w:rsidRPr="00AB053C" w:rsidRDefault="00CE0C7C" w:rsidP="00CE0C7C">
      <w:pPr>
        <w:spacing w:after="0" w:line="240" w:lineRule="auto"/>
      </w:pPr>
    </w:p>
    <w:p w:rsidR="00AB053C" w:rsidRPr="00AB053C" w:rsidRDefault="00AB053C" w:rsidP="00CE0C7C">
      <w:pPr>
        <w:spacing w:after="0" w:line="240" w:lineRule="auto"/>
      </w:pPr>
      <w:r w:rsidRPr="00AB053C">
        <w:rPr>
          <w:b/>
          <w:bCs/>
        </w:rPr>
        <w:t>Как правильно хранить нестероидные противовоспалительные препараты?</w:t>
      </w:r>
    </w:p>
    <w:p w:rsidR="00AB053C" w:rsidRPr="00AB053C" w:rsidRDefault="00AB053C" w:rsidP="00CE0C7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Препарат следует хранить в сухом и недоступном для детей месте при температуре не выше 25 градусов.</w:t>
      </w:r>
    </w:p>
    <w:p w:rsidR="00AB053C" w:rsidRPr="00AB053C" w:rsidRDefault="00AB053C" w:rsidP="00CE0C7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</w:pPr>
      <w:r w:rsidRPr="00AB053C">
        <w:t>Никогда не используйте препарат после истечения срока годности.</w:t>
      </w:r>
    </w:p>
    <w:p w:rsidR="00300082" w:rsidRDefault="00300082" w:rsidP="00CE0C7C">
      <w:pPr>
        <w:spacing w:after="0" w:line="240" w:lineRule="auto"/>
      </w:pPr>
    </w:p>
    <w:sectPr w:rsidR="00300082" w:rsidSect="00CE0C7C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5C7"/>
    <w:multiLevelType w:val="multilevel"/>
    <w:tmpl w:val="AA9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A699E"/>
    <w:multiLevelType w:val="multilevel"/>
    <w:tmpl w:val="1C9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F5883"/>
    <w:multiLevelType w:val="multilevel"/>
    <w:tmpl w:val="E73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D53D41"/>
    <w:multiLevelType w:val="multilevel"/>
    <w:tmpl w:val="4D7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409FD"/>
    <w:multiLevelType w:val="multilevel"/>
    <w:tmpl w:val="CA8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A533F5"/>
    <w:multiLevelType w:val="multilevel"/>
    <w:tmpl w:val="F52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3"/>
    <w:rsid w:val="00300082"/>
    <w:rsid w:val="00AB053C"/>
    <w:rsid w:val="00CE0C7C"/>
    <w:rsid w:val="00EB59BC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835"/>
  <w15:chartTrackingRefBased/>
  <w15:docId w15:val="{A0B4A364-D0E7-4E77-A345-3F9123A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Юрьевна</dc:creator>
  <cp:keywords/>
  <dc:description/>
  <cp:lastModifiedBy>Лузина Любовь Николаевна</cp:lastModifiedBy>
  <cp:revision>3</cp:revision>
  <dcterms:created xsi:type="dcterms:W3CDTF">2019-11-20T06:46:00Z</dcterms:created>
  <dcterms:modified xsi:type="dcterms:W3CDTF">2019-11-22T08:19:00Z</dcterms:modified>
</cp:coreProperties>
</file>